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22845">
      <w:pPr>
        <w:pStyle w:val="4"/>
        <w:keepNext/>
        <w:keepLines/>
        <w:pageBreakBefore w:val="0"/>
        <w:widowControl w:val="0"/>
        <w:numPr>
          <w:ilvl w:val="0"/>
          <w:numId w:val="0"/>
        </w:numPr>
        <w:tabs>
          <w:tab w:val="clear" w:pos="360"/>
          <w:tab w:val="clear" w:pos="420"/>
          <w:tab w:val="clear" w:pos="900"/>
          <w:tab w:val="clear" w:pos="15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80" w:lineRule="exact"/>
        <w:ind w:left="420" w:leftChars="0" w:firstLine="562" w:firstLineChars="200"/>
        <w:jc w:val="center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25894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4、气相分子吸收光谱仪</w:t>
      </w:r>
      <w:bookmarkEnd w:id="0"/>
    </w:p>
    <w:p w14:paraId="2C47763E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1.主机配置和备件耗材</w:t>
      </w:r>
    </w:p>
    <w:p w14:paraId="4DA7BA20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42" w:firstLineChars="200"/>
        <w:textAlignment w:val="auto"/>
        <w:outlineLvl w:val="3"/>
        <w:rPr>
          <w:rFonts w:hint="eastAsia" w:ascii="宋体" w:hAnsi="宋体" w:eastAsia="宋体" w:cs="宋体"/>
          <w:b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2"/>
          <w:szCs w:val="22"/>
          <w:highlight w:val="none"/>
          <w:lang w:val="en-US" w:eastAsia="zh-CN"/>
        </w:rPr>
        <w:t>（采购数量按招标清单为准，这里只表示每台采购设备应配置的备件或耗材数量）</w:t>
      </w:r>
    </w:p>
    <w:tbl>
      <w:tblPr>
        <w:tblStyle w:val="5"/>
        <w:tblW w:w="48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36"/>
        <w:gridCol w:w="4948"/>
        <w:gridCol w:w="1242"/>
      </w:tblGrid>
      <w:tr w14:paraId="316F9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425" w:type="pct"/>
            <w:noWrap w:val="0"/>
            <w:vAlign w:val="center"/>
          </w:tcPr>
          <w:p w14:paraId="4ADA0C4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1" w:type="pct"/>
            <w:noWrap w:val="0"/>
            <w:vAlign w:val="center"/>
          </w:tcPr>
          <w:p w14:paraId="2ECA882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2967" w:type="pct"/>
            <w:noWrap w:val="0"/>
            <w:vAlign w:val="center"/>
          </w:tcPr>
          <w:p w14:paraId="7155B56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745" w:type="pct"/>
            <w:noWrap w:val="0"/>
            <w:vAlign w:val="center"/>
          </w:tcPr>
          <w:p w14:paraId="01CF0CC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数量</w:t>
            </w:r>
          </w:p>
          <w:p w14:paraId="3244427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（台/套）</w:t>
            </w:r>
          </w:p>
        </w:tc>
      </w:tr>
      <w:tr w14:paraId="241B1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425" w:type="pct"/>
            <w:noWrap w:val="0"/>
            <w:vAlign w:val="center"/>
          </w:tcPr>
          <w:p w14:paraId="069B650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主机</w:t>
            </w:r>
          </w:p>
        </w:tc>
        <w:tc>
          <w:tcPr>
            <w:tcW w:w="861" w:type="pct"/>
            <w:noWrap w:val="0"/>
            <w:vAlign w:val="center"/>
          </w:tcPr>
          <w:p w14:paraId="253488D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气相分子吸收光谱仪</w:t>
            </w:r>
          </w:p>
        </w:tc>
        <w:tc>
          <w:tcPr>
            <w:tcW w:w="2967" w:type="pct"/>
            <w:noWrap w:val="0"/>
            <w:vAlign w:val="center"/>
          </w:tcPr>
          <w:p w14:paraId="137C13B0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含流动注射进样系统、在线加热系统、内置氨氮在线氧化模块、内置电子压力报警系统，内置自动稀释模块，内置总氮在线消解模块、自动进样器1套</w:t>
            </w:r>
          </w:p>
        </w:tc>
        <w:tc>
          <w:tcPr>
            <w:tcW w:w="745" w:type="pct"/>
            <w:noWrap w:val="0"/>
            <w:vAlign w:val="center"/>
          </w:tcPr>
          <w:p w14:paraId="7099827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AAF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" w:type="pct"/>
            <w:vMerge w:val="restart"/>
            <w:noWrap w:val="0"/>
            <w:vAlign w:val="center"/>
          </w:tcPr>
          <w:p w14:paraId="348ACE6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备件/耗材</w:t>
            </w:r>
          </w:p>
        </w:tc>
        <w:tc>
          <w:tcPr>
            <w:tcW w:w="861" w:type="pct"/>
            <w:noWrap w:val="0"/>
            <w:vAlign w:val="center"/>
          </w:tcPr>
          <w:p w14:paraId="3685782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一年备件包</w:t>
            </w:r>
          </w:p>
        </w:tc>
        <w:tc>
          <w:tcPr>
            <w:tcW w:w="2967" w:type="pct"/>
            <w:noWrap w:val="0"/>
            <w:vAlign w:val="center"/>
          </w:tcPr>
          <w:p w14:paraId="1F96A579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除标配的配件耗材外，每台另赠进样软管、试剂泵管、尾气吸收装置、进样针等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1套，合计2套/台</w:t>
            </w:r>
          </w:p>
        </w:tc>
        <w:tc>
          <w:tcPr>
            <w:tcW w:w="745" w:type="pct"/>
            <w:noWrap w:val="0"/>
            <w:vAlign w:val="center"/>
          </w:tcPr>
          <w:p w14:paraId="5CF828A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3CB89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" w:type="pct"/>
            <w:vMerge w:val="continue"/>
            <w:noWrap w:val="0"/>
            <w:vAlign w:val="center"/>
          </w:tcPr>
          <w:p w14:paraId="7DA27C4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1" w:type="pct"/>
            <w:noWrap w:val="0"/>
            <w:vAlign w:val="center"/>
          </w:tcPr>
          <w:p w14:paraId="17EE15E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样品瓶</w:t>
            </w:r>
          </w:p>
        </w:tc>
        <w:tc>
          <w:tcPr>
            <w:tcW w:w="2967" w:type="pct"/>
            <w:noWrap w:val="0"/>
            <w:vAlign w:val="center"/>
          </w:tcPr>
          <w:p w14:paraId="7F8B03A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50mL×60个/套</w:t>
            </w:r>
          </w:p>
        </w:tc>
        <w:tc>
          <w:tcPr>
            <w:tcW w:w="745" w:type="pct"/>
            <w:noWrap w:val="0"/>
            <w:vAlign w:val="center"/>
          </w:tcPr>
          <w:p w14:paraId="10FBEF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456B0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" w:type="pct"/>
            <w:vMerge w:val="continue"/>
            <w:noWrap w:val="0"/>
            <w:vAlign w:val="center"/>
          </w:tcPr>
          <w:p w14:paraId="0996050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1" w:type="pct"/>
            <w:noWrap w:val="0"/>
            <w:vAlign w:val="center"/>
          </w:tcPr>
          <w:p w14:paraId="7C89DE6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试剂瓶架</w:t>
            </w:r>
          </w:p>
        </w:tc>
        <w:tc>
          <w:tcPr>
            <w:tcW w:w="2967" w:type="pct"/>
            <w:noWrap w:val="0"/>
            <w:vAlign w:val="center"/>
          </w:tcPr>
          <w:p w14:paraId="36FA671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\</w:t>
            </w:r>
          </w:p>
        </w:tc>
        <w:tc>
          <w:tcPr>
            <w:tcW w:w="745" w:type="pct"/>
            <w:noWrap w:val="0"/>
            <w:vAlign w:val="center"/>
          </w:tcPr>
          <w:p w14:paraId="7274609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0B3F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" w:type="pct"/>
            <w:vMerge w:val="continue"/>
            <w:noWrap w:val="0"/>
            <w:vAlign w:val="center"/>
          </w:tcPr>
          <w:p w14:paraId="4828466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1" w:type="pct"/>
            <w:noWrap w:val="0"/>
            <w:vAlign w:val="center"/>
          </w:tcPr>
          <w:p w14:paraId="1FCE5AA0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高纯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气</w:t>
            </w:r>
          </w:p>
        </w:tc>
        <w:tc>
          <w:tcPr>
            <w:tcW w:w="2967" w:type="pct"/>
            <w:noWrap w:val="0"/>
            <w:vAlign w:val="center"/>
          </w:tcPr>
          <w:p w14:paraId="4A3FBBE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1瓶/台（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含瓶、气、阀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）；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纯度≥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99.999%</w:t>
            </w:r>
          </w:p>
        </w:tc>
        <w:tc>
          <w:tcPr>
            <w:tcW w:w="745" w:type="pct"/>
            <w:noWrap w:val="0"/>
            <w:vAlign w:val="center"/>
          </w:tcPr>
          <w:p w14:paraId="13D1DCC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</w:tbl>
    <w:p w14:paraId="7BADC845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2.工作条件</w:t>
      </w:r>
    </w:p>
    <w:p w14:paraId="3A2539D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2.1工作环境温度：15℃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～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30℃。</w:t>
      </w:r>
    </w:p>
    <w:p w14:paraId="6C652A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2.2工作环境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相对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湿度：≤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75%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。</w:t>
      </w:r>
    </w:p>
    <w:p w14:paraId="1B40B9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2.3供电电源：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AC 220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V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±22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V，50Hz。</w:t>
      </w:r>
    </w:p>
    <w:p w14:paraId="50B5A1ED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3.仪器用途</w:t>
      </w:r>
    </w:p>
    <w:p w14:paraId="4551B87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3.1仪器适用于水体中氨氮、总氮、硫化物、硝酸盐氮、亚硝酸盐氮、凯氏氮等含氮、含硫类关键污染指标的精准定量检测。</w:t>
      </w:r>
    </w:p>
    <w:p w14:paraId="3D0D27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3.2满足《水质 氨氮的测定 气相分子吸收光谱法》（HJ 195-2023）、《水质 总氮的测定 气相分子吸收光谱法》（HJ 199-2023）、《水质 硫化物的测定 气相分子吸收光谱法》（HJ 200-2023）、《水质 硝酸盐氮的测定 气相分子吸收光谱法》（HJ 19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-2024）、《水质 亚硝酸盐氮的测定 气相分子吸收光谱法》（HJ 19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-2024）等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相关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环境监测国家标准方法的分析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要求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。</w:t>
      </w:r>
    </w:p>
    <w:p w14:paraId="763460BA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4.技术参数</w:t>
      </w:r>
    </w:p>
    <w:p w14:paraId="32DD044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4.1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主机系统</w:t>
      </w:r>
    </w:p>
    <w:p w14:paraId="433E61E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4.1.1内置气-液分离装置，使用高效的连续萃取气液分离技术。</w:t>
      </w:r>
    </w:p>
    <w:p w14:paraId="1DB29D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▲4.1.2内置总氮在线消解系统，使用紫外在线消解系统，单个样品测量含消解时间小于5min。</w:t>
      </w:r>
    </w:p>
    <w:p w14:paraId="6361DF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■4.1.3内置氨氮在线氧化系统。</w:t>
      </w:r>
    </w:p>
    <w:p w14:paraId="7C6A8D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▲4.1.4内置自动稀释系统。可对不同浓度样品精准稀释；支持单点定标进行自动梯度稀释，自动生成覆盖检测范围的标准曲线，曲线相关性系数≥0.9995。</w:t>
      </w:r>
    </w:p>
    <w:p w14:paraId="139F99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4.1.5内置在线加热系统，能开机自动检测环境温度，无需手动开启辅助加热，温度异常时自动停止加热。</w:t>
      </w:r>
    </w:p>
    <w:p w14:paraId="3ABC7F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4.1.6内置自动除水系统，使用全过程无需干燥剂，采用半导体恒温除湿或同等效果技术，避免水汽干扰。</w:t>
      </w:r>
    </w:p>
    <w:p w14:paraId="452790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4.1.7以氮气（纯度≥99.9%）为载气，配备载气净化系统；具备压力和流量双重监测报警系统。</w:t>
      </w:r>
    </w:p>
    <w:p w14:paraId="567C0D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4.1.8仪器在30min内基线的漂移不大于0.001Abs，基线最大瞬时噪声不大于0.0005Abs。</w:t>
      </w:r>
    </w:p>
    <w:p w14:paraId="47B8E3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4.1.9采用适配各国标/行标方法要求的氘灯，固定灯位，光路稳定；具备光源寿命统计监测功能。</w:t>
      </w:r>
    </w:p>
    <w:p w14:paraId="0E6245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4.1.10采用连续光源，波长范围覆盖各国标/行标方法特征波长要求，且连续可调；波长准确性±0.2nm，波长重复性±0.1nm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GB" w:eastAsia="zh-CN"/>
        </w:rPr>
        <w:t>。</w:t>
      </w:r>
    </w:p>
    <w:p w14:paraId="1B54F9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4.2 试剂瓶架</w:t>
      </w:r>
    </w:p>
    <w:p w14:paraId="13424F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4.2.1配置试剂瓶架。与主机、自动进样系统衔接，布局合理。</w:t>
      </w:r>
    </w:p>
    <w:p w14:paraId="1DD800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4.2.2至少可容纳6个1000mL规格试剂瓶。</w:t>
      </w:r>
    </w:p>
    <w:p w14:paraId="1ED048C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4.3自动进样器</w:t>
      </w:r>
    </w:p>
    <w:p w14:paraId="511DB8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▲4.3.1样品位数≥50位，样品管容积不小于50mL，适配大体积样品或高浓度稀释需求。</w:t>
      </w:r>
    </w:p>
    <w:p w14:paraId="31D3B2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4.3.2样品盘可拆洗，进样管路/进样针采用耐腐蚀材质；具备程序控制流动洗针功能，可软件调节洗针流量，适配不同污染程度样品。</w:t>
      </w:r>
    </w:p>
    <w:p w14:paraId="6DAE28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■4.3.3配备均质吹扫系统，支持进样前/进样中均质，软件可设置吹扫时间，消除样品分层、去除VOC干扰。</w:t>
      </w:r>
    </w:p>
    <w:p w14:paraId="1A0E05F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4.4氨氮</w:t>
      </w:r>
    </w:p>
    <w:p w14:paraId="7D44FB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■4.4.1检出限：≤0.02mg/L；</w:t>
      </w:r>
    </w:p>
    <w:p w14:paraId="60235A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4.4.2标准曲线相关系数：r≥0.9995；</w:t>
      </w:r>
    </w:p>
    <w:p w14:paraId="4F184C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4.4.3精密度（连续6次测定）：0.2mg/L时RSD＜3%。</w:t>
      </w:r>
    </w:p>
    <w:p w14:paraId="0FBBE79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4.5亚硝酸盐氮</w:t>
      </w:r>
    </w:p>
    <w:p w14:paraId="5A7E8C0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■4.5.1检出限：≤0.003mg/L；</w:t>
      </w:r>
    </w:p>
    <w:p w14:paraId="28B6FB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4.5.2标准曲线相关系数：r≥0.9995；</w:t>
      </w:r>
    </w:p>
    <w:p w14:paraId="2F88060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4.5.3精密度（连续6次测定）：0.2mg/L时RSD＜3%。</w:t>
      </w:r>
    </w:p>
    <w:p w14:paraId="63B24C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4.6硝酸盐氮</w:t>
      </w:r>
    </w:p>
    <w:p w14:paraId="645B4E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■4.6.1检出限：≤0.008mg/L；</w:t>
      </w:r>
    </w:p>
    <w:p w14:paraId="0CB9CD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4.6.2标准曲线相关系数：r≥0.9995；</w:t>
      </w:r>
    </w:p>
    <w:p w14:paraId="286C8B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4.6.3精密度（连续6次测定）：0.5mg/L时RSD＜3%。</w:t>
      </w:r>
    </w:p>
    <w:p w14:paraId="35F23AD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4.7总氮</w:t>
      </w:r>
    </w:p>
    <w:p w14:paraId="117A562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■4.7.1检出限：≤0.05mg/L</w:t>
      </w:r>
    </w:p>
    <w:p w14:paraId="2835B06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4.7.2标准曲线相关系数：r≥0.9995</w:t>
      </w:r>
    </w:p>
    <w:p w14:paraId="5586609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4.7.3精密度（连续6次测定）：0.5mg/L时RSD＜3%。</w:t>
      </w:r>
    </w:p>
    <w:p w14:paraId="2F8E147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4.8硫化物</w:t>
      </w:r>
    </w:p>
    <w:p w14:paraId="5BE1B6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■4.8.1检出限：≤0.005mg/L</w:t>
      </w:r>
    </w:p>
    <w:p w14:paraId="1AFA44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4.8.2标准曲线相关系数：r≥0.9995</w:t>
      </w:r>
    </w:p>
    <w:p w14:paraId="07156C4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4.8.3精密度（连续6次测定）：0.2mg/L时RSD＜3%。</w:t>
      </w:r>
    </w:p>
    <w:p w14:paraId="16AB1C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4.9整机通讯支持TCP/IP协议，支持实验室LIMS系统数据上传对接；支持数据自动存储、数据溯源查阅、支持PDF/Word/Excel等格式报表输出与报表打印，支持报告个性化定制。</w:t>
      </w:r>
    </w:p>
    <w:p w14:paraId="107EFB6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bookmarkStart w:id="1" w:name="_GoBack"/>
      <w:bookmarkEnd w:id="1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4.10 采用紧凑型一体化设计，在无需外置其他功能模块的情况下，仪器主机即可实现总氮项目的自动消解、分析检测以及高浓度样品的自动稀释。同时，仪器结构稳固，自动进样器可叠放于主机之上运行，主机与自动进样器的合计占用面积不超过 0.3m²，适用于应急监测车等狭小空间。 </w:t>
      </w:r>
    </w:p>
    <w:p w14:paraId="7A305663">
      <w:pPr>
        <w:keepNext w:val="0"/>
        <w:keepLines w:val="0"/>
        <w:pageBreakBefore w:val="0"/>
        <w:tabs>
          <w:tab w:val="left" w:pos="3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2" w:firstLineChars="200"/>
        <w:textAlignment w:val="auto"/>
        <w:outlineLvl w:val="3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5.数据处理系统</w:t>
      </w:r>
    </w:p>
    <w:p w14:paraId="7F84844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5.1数据输出和输入系统1套（品牌计算机，I5十二代及以上， 内存16G及以上， DVD刻录， 固态硬盘1T以上， ≥22液晶专用显示器，中文正版Win10 64位专业系统；A4黑白激光打印机1套。）</w:t>
      </w:r>
    </w:p>
    <w:p w14:paraId="632CB32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5.2操作软件支持开机自动检测通讯口、波长、泵转速、灯位等，并可直接设置测试波长、泵转速、进样时间等参数；具备实时显示检测图谱功能，支持平行样图谱对比；具备紧急添加样品功能；自动保存检测数据、操作日志，支持报告导出；具备测量全程基线实时显示功能。</w:t>
      </w:r>
    </w:p>
    <w:p w14:paraId="1A7050DF">
      <w:pPr>
        <w:rPr>
          <w:rFonts w:hint="eastAsia" w:ascii="宋体" w:hAnsi="宋体" w:eastAsia="宋体"/>
          <w:b/>
          <w:bCs/>
          <w:color w:val="FF0000"/>
          <w:sz w:val="24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4"/>
          <w:lang w:val="en-US" w:eastAsia="zh-CN"/>
        </w:rPr>
        <w:br w:type="page"/>
      </w:r>
    </w:p>
    <w:p w14:paraId="4161013E">
      <w:pPr>
        <w:numPr>
          <w:ilvl w:val="0"/>
          <w:numId w:val="0"/>
        </w:numPr>
        <w:adjustRightInd w:val="0"/>
        <w:snapToGrid w:val="0"/>
        <w:spacing w:after="0" w:line="360" w:lineRule="auto"/>
        <w:ind w:firstLine="482" w:firstLineChars="200"/>
        <w:rPr>
          <w:rFonts w:hint="eastAsia" w:ascii="宋体" w:hAnsi="宋体" w:eastAsia="宋体"/>
          <w:b/>
          <w:bCs/>
          <w:color w:val="FF0000"/>
          <w:sz w:val="24"/>
        </w:rPr>
      </w:pPr>
      <w:r>
        <w:rPr>
          <w:rFonts w:hint="eastAsia" w:ascii="宋体" w:hAnsi="宋体" w:eastAsia="宋体"/>
          <w:b/>
          <w:bCs/>
          <w:color w:val="FF0000"/>
          <w:sz w:val="24"/>
          <w:lang w:val="en-US" w:eastAsia="zh-CN"/>
        </w:rPr>
        <w:t>6.</w:t>
      </w:r>
      <w:r>
        <w:rPr>
          <w:rFonts w:hint="eastAsia" w:ascii="宋体" w:hAnsi="宋体" w:eastAsia="宋体"/>
          <w:b/>
          <w:bCs/>
          <w:color w:val="FF0000"/>
          <w:sz w:val="24"/>
        </w:rPr>
        <w:t>技术服务及售后服务：</w:t>
      </w:r>
    </w:p>
    <w:p w14:paraId="076BB8C8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0E4883A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★2、仪器制造商授权的技术人员现场安装调试，由仪器制造商或供货方送检合格后，取得校准或检定证书，用户方方可签字验收。</w:t>
      </w:r>
    </w:p>
    <w:p w14:paraId="19903A2B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3、每类仪器报修和应用支持须在2h内响应，48h到现场解决问题。</w:t>
      </w:r>
    </w:p>
    <w:p w14:paraId="2DDE98A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pStyle w:val="3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23FA6C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85042"/>
    <w:multiLevelType w:val="multilevel"/>
    <w:tmpl w:val="60085042"/>
    <w:lvl w:ilvl="0" w:tentative="0">
      <w:start w:val="1"/>
      <w:numFmt w:val="decimal"/>
      <w:pStyle w:val="4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3A2905"/>
    <w:rsid w:val="00A5599A"/>
    <w:rsid w:val="1E95081C"/>
    <w:rsid w:val="250465B8"/>
    <w:rsid w:val="5C5018E0"/>
    <w:rsid w:val="683A2905"/>
    <w:rsid w:val="793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1"/>
    <w:qFormat/>
    <w:uiPriority w:val="9"/>
    <w:pPr>
      <w:numPr>
        <w:ilvl w:val="0"/>
        <w:numId w:val="1"/>
      </w:numPr>
      <w:tabs>
        <w:tab w:val="left" w:pos="360"/>
        <w:tab w:val="left" w:pos="900"/>
        <w:tab w:val="left" w:pos="1588"/>
      </w:tabs>
      <w:adjustRightInd w:val="0"/>
      <w:spacing w:line="400" w:lineRule="exact"/>
      <w:ind w:firstLine="6"/>
      <w:textAlignment w:val="baseline"/>
      <w:outlineLvl w:val="2"/>
    </w:pPr>
    <w:rPr>
      <w:rFonts w:eastAsia="黑体"/>
      <w:b/>
      <w:kern w:val="0"/>
      <w:sz w:val="28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2060</Words>
  <Characters>2484</Characters>
  <Lines>0</Lines>
  <Paragraphs>0</Paragraphs>
  <TotalTime>1</TotalTime>
  <ScaleCrop>false</ScaleCrop>
  <LinksUpToDate>false</LinksUpToDate>
  <CharactersWithSpaces>2507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2026-04-02T09:21:00Z</dcterms:created>
  <dc:creator>华善</dc:creator>
  <cp:lastModifiedBy>华善</cp:lastModifiedBy>
  <cp:lastPrinted>2026-04-02T09:21:00Z</cp:lastPrinted>
  <dcterms:modified xsi:type="dcterms:W3CDTF">2026-04-10T04:50:29Z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99B98900F6774AA7A291F6496ACAA372_13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