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02CD62">
      <w:pPr>
        <w:numPr>
          <w:ilvl w:val="0"/>
          <w:numId w:val="0"/>
        </w:numPr>
        <w:jc w:val="center"/>
        <w:rPr>
          <w:rFonts w:hint="eastAsia" w:asciiTheme="minorHAnsi" w:hAnsiTheme="minorHAnsi" w:eastAsiaTheme="minorEastAsia" w:cstheme="minorBidi"/>
          <w:b/>
          <w:bCs/>
          <w:kern w:val="2"/>
          <w:sz w:val="36"/>
          <w:szCs w:val="36"/>
          <w:lang w:val="en-US" w:eastAsia="zh-CN" w:bidi="ar-SA"/>
        </w:rPr>
      </w:pPr>
      <w:r>
        <w:rPr>
          <w:rFonts w:hint="eastAsia" w:cstheme="minorBidi"/>
          <w:b/>
          <w:bCs/>
          <w:kern w:val="2"/>
          <w:sz w:val="36"/>
          <w:szCs w:val="36"/>
          <w:lang w:val="en-US" w:eastAsia="zh-CN" w:bidi="ar-SA"/>
        </w:rPr>
        <w:t>11</w:t>
      </w:r>
      <w:r>
        <w:rPr>
          <w:rFonts w:hint="eastAsia" w:asciiTheme="minorHAnsi" w:hAnsiTheme="minorHAnsi" w:eastAsiaTheme="minorEastAsia" w:cstheme="minorBidi"/>
          <w:b/>
          <w:bCs/>
          <w:kern w:val="2"/>
          <w:sz w:val="36"/>
          <w:szCs w:val="36"/>
          <w:lang w:val="en-US" w:eastAsia="zh-CN" w:bidi="ar-SA"/>
        </w:rPr>
        <w:t>、通风柜</w:t>
      </w:r>
    </w:p>
    <w:p w14:paraId="22CE4293">
      <w:pPr>
        <w:spacing w:after="0" w:line="480" w:lineRule="auto"/>
        <w:rPr>
          <w:rFonts w:hint="eastAsia" w:ascii="宋体" w:hAnsi="宋体" w:eastAsia="宋体"/>
          <w:sz w:val="24"/>
          <w:szCs w:val="32"/>
        </w:rPr>
      </w:pPr>
      <w:r>
        <w:rPr>
          <w:rFonts w:hint="eastAsia" w:ascii="宋体" w:hAnsi="宋体" w:eastAsia="宋体"/>
          <w:sz w:val="24"/>
          <w:szCs w:val="32"/>
        </w:rPr>
        <w:t>1.全钢结构通风柜，1.0mm钢板酸洗，环氧树脂静电喷涂，12.7mm实芯理化板台面设有挡水边，防止液体外溢，具有良好的防水、防酸碱、耐高温等性能，通风柜整体包含屋顶排风，消音装置，废气处理等</w:t>
      </w:r>
      <w:r>
        <w:rPr>
          <w:rFonts w:hint="eastAsia" w:ascii="宋体" w:hAnsi="宋体" w:eastAsia="宋体"/>
          <w:sz w:val="24"/>
          <w:szCs w:val="32"/>
          <w:lang w:eastAsia="zh-CN"/>
        </w:rPr>
        <w:t>。</w:t>
      </w:r>
    </w:p>
    <w:p w14:paraId="16EA7DEC">
      <w:pPr>
        <w:spacing w:after="0" w:line="480" w:lineRule="auto"/>
        <w:rPr>
          <w:rFonts w:ascii="Times New Roman" w:hAnsi="Times New Roman" w:eastAsia="宋体" w:cs="Times New Roman"/>
          <w:sz w:val="24"/>
          <w:szCs w:val="32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▲</w:t>
      </w:r>
      <w:r>
        <w:rPr>
          <w:rFonts w:ascii="Times New Roman" w:hAnsi="Times New Roman" w:eastAsia="宋体" w:cs="Times New Roman"/>
          <w:sz w:val="24"/>
          <w:szCs w:val="32"/>
        </w:rPr>
        <w:t>2.柜体</w:t>
      </w:r>
      <w:r>
        <w:rPr>
          <w:rFonts w:hint="eastAsia" w:ascii="Times New Roman" w:hAnsi="Times New Roman" w:eastAsia="宋体" w:cs="Times New Roman"/>
          <w:sz w:val="24"/>
          <w:szCs w:val="32"/>
          <w:lang w:val="en-US" w:eastAsia="zh-CN"/>
        </w:rPr>
        <w:t>长度</w:t>
      </w:r>
      <w:r>
        <w:rPr>
          <w:rFonts w:ascii="Times New Roman" w:hAnsi="Times New Roman" w:eastAsia="宋体" w:cs="Times New Roman"/>
          <w:sz w:val="24"/>
          <w:szCs w:val="32"/>
        </w:rPr>
        <w:t>（mm）</w:t>
      </w:r>
      <w:r>
        <w:rPr>
          <w:rFonts w:hint="eastAsia" w:ascii="Times New Roman" w:hAnsi="Times New Roman" w:eastAsia="宋体" w:cs="Times New Roman"/>
          <w:sz w:val="24"/>
          <w:szCs w:val="32"/>
        </w:rPr>
        <w:t>：≥</w:t>
      </w:r>
      <w:r>
        <w:rPr>
          <w:rFonts w:ascii="Times New Roman" w:hAnsi="Times New Roman" w:eastAsia="宋体" w:cs="Times New Roman"/>
          <w:sz w:val="24"/>
          <w:szCs w:val="32"/>
        </w:rPr>
        <w:t>1500</w:t>
      </w:r>
    </w:p>
    <w:p w14:paraId="47B50335">
      <w:pPr>
        <w:spacing w:after="0" w:line="480" w:lineRule="auto"/>
        <w:rPr>
          <w:rFonts w:hint="eastAsia" w:ascii="宋体" w:hAnsi="宋体" w:eastAsia="宋体"/>
          <w:sz w:val="24"/>
          <w:szCs w:val="32"/>
        </w:rPr>
      </w:pPr>
      <w:r>
        <w:rPr>
          <w:rFonts w:hint="eastAsia" w:ascii="宋体" w:hAnsi="宋体" w:eastAsia="宋体"/>
          <w:sz w:val="24"/>
          <w:szCs w:val="32"/>
        </w:rPr>
        <w:t>3.条型配重体同步齿轮移动操作可视窗上下移动，可视窗为5mm钢化玻璃，保证实验室人员安全，内衬为5mm高密度抗倍特防腐蚀导流板，外置液晶操控面板，两侧预留供水及供气拷克安装口，配多功能插座系统，有效保证用电安全。</w:t>
      </w:r>
    </w:p>
    <w:p w14:paraId="00C27EE5">
      <w:pPr>
        <w:spacing w:after="0" w:line="480" w:lineRule="auto"/>
        <w:rPr>
          <w:rFonts w:hint="eastAsia" w:ascii="宋体" w:hAnsi="宋体" w:eastAsia="宋体"/>
          <w:sz w:val="24"/>
          <w:szCs w:val="32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■</w:t>
      </w:r>
      <w:r>
        <w:rPr>
          <w:rFonts w:hint="eastAsia" w:ascii="宋体" w:hAnsi="宋体" w:eastAsia="宋体"/>
          <w:sz w:val="24"/>
          <w:szCs w:val="32"/>
        </w:rPr>
        <w:t>4.实验通风柜专用通风系统，配防腐蚀室内静音风机，保证单个通风柜风量2200-3000m³/h。</w:t>
      </w:r>
    </w:p>
    <w:p w14:paraId="7072B190">
      <w:pPr>
        <w:spacing w:after="0" w:line="480" w:lineRule="auto"/>
        <w:rPr>
          <w:rFonts w:hint="eastAsia" w:ascii="宋体" w:hAnsi="宋体" w:eastAsia="宋体"/>
          <w:sz w:val="24"/>
          <w:szCs w:val="32"/>
        </w:rPr>
      </w:pPr>
      <w:r>
        <w:rPr>
          <w:rFonts w:hint="eastAsia" w:ascii="宋体" w:hAnsi="宋体" w:eastAsia="宋体"/>
          <w:sz w:val="24"/>
          <w:szCs w:val="32"/>
        </w:rPr>
        <w:t>5、插座：采用防尘、防溅带有自动闭合功能防护盖的安全插座，配置10A/16A /220V的多功能插座，适合实验室内各种仪器设备。</w:t>
      </w:r>
    </w:p>
    <w:p w14:paraId="3A2F1B57">
      <w:pPr>
        <w:spacing w:after="0" w:line="480" w:lineRule="auto"/>
        <w:rPr>
          <w:rFonts w:hint="eastAsia" w:ascii="宋体" w:hAnsi="宋体" w:eastAsia="宋体"/>
          <w:sz w:val="24"/>
          <w:szCs w:val="32"/>
        </w:rPr>
      </w:pPr>
      <w:r>
        <w:rPr>
          <w:rFonts w:hint="eastAsia" w:ascii="宋体" w:hAnsi="宋体" w:eastAsia="宋体"/>
          <w:sz w:val="24"/>
          <w:szCs w:val="32"/>
        </w:rPr>
        <w:t>6.照明：采用圆形节能孔灯，隐藏于顶板上，不与通风柜内实验气体直接接触，易更换，亮度完全满足实验要求。</w:t>
      </w:r>
    </w:p>
    <w:p w14:paraId="761171DF">
      <w:pPr>
        <w:spacing w:after="0" w:line="480" w:lineRule="auto"/>
        <w:rPr>
          <w:rFonts w:hint="eastAsia" w:ascii="宋体" w:hAnsi="宋体" w:eastAsia="宋体"/>
          <w:b/>
          <w:bCs/>
          <w:color w:val="FF0000"/>
          <w:sz w:val="24"/>
          <w:szCs w:val="32"/>
        </w:rPr>
      </w:pPr>
      <w:r>
        <w:rPr>
          <w:rFonts w:hint="eastAsia" w:ascii="宋体" w:hAnsi="宋体" w:eastAsia="宋体"/>
          <w:sz w:val="24"/>
          <w:szCs w:val="32"/>
        </w:rPr>
        <w:t>7.满足实验室要求，对原有通风柜拆除，安装新购置通风柜，并对通风柜所在房间实验室的台面改造升级</w:t>
      </w:r>
      <w:r>
        <w:rPr>
          <w:rFonts w:hint="eastAsia" w:ascii="宋体" w:hAnsi="宋体" w:eastAsia="宋体"/>
          <w:sz w:val="24"/>
          <w:szCs w:val="32"/>
          <w:lang w:eastAsia="zh-CN"/>
        </w:rPr>
        <w:t>（以实际为准）</w:t>
      </w:r>
      <w:r>
        <w:rPr>
          <w:rFonts w:hint="eastAsia" w:ascii="宋体" w:hAnsi="宋体" w:eastAsia="宋体"/>
          <w:sz w:val="24"/>
          <w:szCs w:val="32"/>
        </w:rPr>
        <w:t>。</w:t>
      </w:r>
    </w:p>
    <w:p w14:paraId="2DDE98A4">
      <w:pPr>
        <w:pStyle w:val="3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4"/>
        </w:rPr>
      </w:pPr>
      <w:r>
        <w:rPr>
          <w:rFonts w:hint="eastAsia" w:ascii="宋体" w:hAnsi="宋体" w:eastAsia="宋体" w:cs="宋体"/>
          <w:b w:val="0"/>
          <w:bCs w:val="0"/>
          <w:sz w:val="24"/>
        </w:rPr>
        <w:t>★</w:t>
      </w:r>
      <w:r>
        <w:rPr>
          <w:rFonts w:hint="eastAsia" w:ascii="宋体" w:hAnsi="宋体" w:eastAsia="宋体" w:cs="宋体"/>
          <w:b w:val="0"/>
          <w:bCs w:val="0"/>
          <w:sz w:val="24"/>
          <w:lang w:val="en-US" w:eastAsia="zh-CN"/>
        </w:rPr>
        <w:t>8.</w:t>
      </w:r>
      <w:r>
        <w:rPr>
          <w:rFonts w:hint="eastAsia" w:ascii="宋体" w:hAnsi="宋体" w:eastAsia="宋体" w:cs="宋体"/>
          <w:b w:val="0"/>
          <w:bCs w:val="0"/>
          <w:sz w:val="24"/>
        </w:rPr>
        <w:t>质保期：整机质保期不少于</w:t>
      </w:r>
      <w:r>
        <w:rPr>
          <w:rFonts w:hint="eastAsia" w:ascii="宋体" w:hAnsi="宋体" w:eastAsia="宋体" w:cs="宋体"/>
          <w:b w:val="0"/>
          <w:bCs w:val="0"/>
          <w:sz w:val="24"/>
          <w:lang w:val="en-US" w:eastAsia="zh-CN"/>
        </w:rPr>
        <w:t>二</w:t>
      </w:r>
      <w:r>
        <w:rPr>
          <w:rFonts w:hint="eastAsia" w:ascii="宋体" w:hAnsi="宋体" w:eastAsia="宋体" w:cs="宋体"/>
          <w:b w:val="0"/>
          <w:bCs w:val="0"/>
          <w:sz w:val="24"/>
        </w:rPr>
        <w:t>年。在质保期内，供应商必须提供制造商的故障检查、维修及维护等服务，所有服务及更换部件全部免费。制造商对</w:t>
      </w:r>
      <w:r>
        <w:rPr>
          <w:rFonts w:hint="eastAsia" w:ascii="宋体" w:hAnsi="宋体" w:eastAsia="宋体" w:cs="宋体"/>
          <w:b w:val="0"/>
          <w:bCs w:val="0"/>
          <w:sz w:val="24"/>
          <w:lang w:val="en-US" w:eastAsia="zh-CN"/>
        </w:rPr>
        <w:t>设备</w:t>
      </w:r>
      <w:r>
        <w:rPr>
          <w:rFonts w:hint="eastAsia" w:ascii="宋体" w:hAnsi="宋体" w:eastAsia="宋体" w:cs="宋体"/>
          <w:b w:val="0"/>
          <w:bCs w:val="0"/>
          <w:sz w:val="24"/>
        </w:rPr>
        <w:t>提供终身维修维护支持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sz w:val="24"/>
        </w:rPr>
        <w:t>，并以优惠价提供配件耗材。</w:t>
      </w:r>
    </w:p>
    <w:p w14:paraId="0CF84E12">
      <w:pPr>
        <w:rPr>
          <w:rFonts w:hint="default"/>
          <w:b/>
          <w:bCs/>
          <w:sz w:val="36"/>
          <w:szCs w:val="44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934678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BA4D2F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2BA4D2F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D906FC"/>
    <w:multiLevelType w:val="multilevel"/>
    <w:tmpl w:val="CED906FC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4"/>
      <w:suff w:val="nothing"/>
      <w:lvlText w:val="%3．"/>
      <w:lvlJc w:val="left"/>
      <w:pPr>
        <w:tabs>
          <w:tab w:val="left" w:pos="0"/>
        </w:tabs>
        <w:ind w:left="0" w:firstLine="400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5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2A1A20"/>
    <w:rsid w:val="03312448"/>
    <w:rsid w:val="07AF6AAA"/>
    <w:rsid w:val="192E0AAE"/>
    <w:rsid w:val="388A594F"/>
    <w:rsid w:val="422A1A20"/>
    <w:rsid w:val="4AFC3310"/>
    <w:rsid w:val="4ED54C66"/>
    <w:rsid w:val="67C718D1"/>
    <w:rsid w:val="6CCC13F5"/>
    <w:rsid w:val="6D503E66"/>
    <w:rsid w:val="701B1D7B"/>
    <w:rsid w:val="73E55634"/>
    <w:rsid w:val="7B203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tabs>
        <w:tab w:val="left" w:pos="360"/>
      </w:tabs>
      <w:adjustRightInd w:val="0"/>
      <w:spacing w:line="360" w:lineRule="auto"/>
      <w:jc w:val="center"/>
      <w:textAlignment w:val="baseline"/>
      <w:outlineLvl w:val="0"/>
    </w:pPr>
    <w:rPr>
      <w:rFonts w:eastAsia="黑体"/>
      <w:b/>
      <w:kern w:val="44"/>
      <w:sz w:val="28"/>
      <w:szCs w:val="20"/>
    </w:rPr>
  </w:style>
  <w:style w:type="paragraph" w:styleId="4">
    <w:name w:val="heading 3"/>
    <w:basedOn w:val="1"/>
    <w:next w:val="2"/>
    <w:unhideWhenUsed/>
    <w:qFormat/>
    <w:uiPriority w:val="9"/>
    <w:pPr>
      <w:numPr>
        <w:ilvl w:val="2"/>
        <w:numId w:val="1"/>
      </w:numPr>
      <w:tabs>
        <w:tab w:val="left" w:pos="312"/>
        <w:tab w:val="clear" w:pos="0"/>
      </w:tabs>
      <w:adjustRightInd w:val="0"/>
      <w:snapToGrid w:val="0"/>
      <w:spacing w:before="100" w:beforeLines="100" w:after="50" w:afterLines="50" w:line="288" w:lineRule="auto"/>
      <w:ind w:left="0" w:firstLine="0"/>
      <w:outlineLvl w:val="2"/>
    </w:pPr>
    <w:rPr>
      <w:rFonts w:ascii="黑体" w:hAnsi="黑体" w:eastAsia="黑体"/>
      <w:b/>
      <w:bCs/>
      <w:sz w:val="30"/>
      <w:szCs w:val="30"/>
    </w:rPr>
  </w:style>
  <w:style w:type="paragraph" w:styleId="5">
    <w:name w:val="heading 5"/>
    <w:basedOn w:val="1"/>
    <w:next w:val="1"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firstLine="402"/>
      <w:outlineLvl w:val="4"/>
    </w:pPr>
    <w:rPr>
      <w:b/>
      <w:sz w:val="28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pPr>
      <w:autoSpaceDE w:val="0"/>
      <w:autoSpaceDN w:val="0"/>
      <w:ind w:left="103"/>
      <w:jc w:val="left"/>
    </w:pPr>
    <w:rPr>
      <w:rFonts w:ascii="宋体" w:hAnsi="宋体"/>
      <w:kern w:val="0"/>
      <w:sz w:val="30"/>
      <w:szCs w:val="30"/>
    </w:rPr>
  </w:style>
  <w:style w:type="paragraph" w:styleId="6">
    <w:name w:val="Plain Text"/>
    <w:basedOn w:val="1"/>
    <w:qFormat/>
    <w:uiPriority w:val="0"/>
    <w:pPr>
      <w:spacing w:after="0" w:line="240" w:lineRule="auto"/>
      <w:jc w:val="both"/>
    </w:pPr>
    <w:rPr>
      <w:rFonts w:ascii="宋体" w:hAnsi="Courier New" w:cs="Courier New"/>
      <w:sz w:val="21"/>
      <w:szCs w:val="21"/>
      <w14:ligatures w14:val="none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10">
    <w:name w:val="Table Grid"/>
    <w:basedOn w:val="9"/>
    <w:unhideWhenUsed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398</Words>
  <Characters>444</Characters>
  <Lines>0</Lines>
  <Paragraphs>0</Paragraphs>
  <TotalTime>1</TotalTime>
  <ScaleCrop>false</ScaleCrop>
  <LinksUpToDate>false</LinksUpToDate>
  <CharactersWithSpaces>445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2026-04-02T02:22:00Z</dcterms:created>
  <dc:creator>华善</dc:creator>
  <cp:lastModifiedBy>华善</cp:lastModifiedBy>
  <dcterms:modified xsi:type="dcterms:W3CDTF">2026-04-09T10:04:55Z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759E8DCCED634AFCABC1C2052C6E6BC0_13</vt:lpwstr>
  </property>
  <property fmtid="{D5CDD505-2E9C-101B-9397-08002B2CF9AE}" pid="4" name="KSOTemplateDocerSaveRecord">
    <vt:lpwstr>eyJoZGlkIjoiZDgzMDg3OTVkZTdkM2JjZjdhMzMwZmZjMzdmNTZjOTMiLCJ1c2VySWQiOiIxMDI2NDM2MzE2In0=</vt:lpwstr>
  </property>
</Properties>
</file>