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89682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33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、氟化物离子计</w:t>
      </w:r>
    </w:p>
    <w:bookmarkEnd w:id="0"/>
    <w:p w14:paraId="2515B8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主机配置及配件</w:t>
      </w:r>
    </w:p>
    <w:p w14:paraId="76ECE13F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2" w:firstLineChars="200"/>
        <w:textAlignment w:val="auto"/>
        <w:outlineLvl w:val="3"/>
        <w:rPr>
          <w:rFonts w:hint="eastAsia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13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538"/>
        <w:gridCol w:w="2086"/>
        <w:gridCol w:w="1991"/>
      </w:tblGrid>
      <w:tr w14:paraId="295F6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06" w:type="dxa"/>
            <w:noWrap w:val="0"/>
            <w:vAlign w:val="center"/>
          </w:tcPr>
          <w:p w14:paraId="130F1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  <w:noWrap w:val="0"/>
            <w:vAlign w:val="center"/>
          </w:tcPr>
          <w:p w14:paraId="600D7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086" w:type="dxa"/>
            <w:noWrap w:val="0"/>
            <w:vAlign w:val="center"/>
          </w:tcPr>
          <w:p w14:paraId="69309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说明</w:t>
            </w:r>
          </w:p>
        </w:tc>
        <w:tc>
          <w:tcPr>
            <w:tcW w:w="1991" w:type="dxa"/>
            <w:noWrap w:val="0"/>
            <w:vAlign w:val="center"/>
          </w:tcPr>
          <w:p w14:paraId="28EB6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数量（台/套）</w:t>
            </w:r>
          </w:p>
        </w:tc>
      </w:tr>
      <w:tr w14:paraId="023F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906" w:type="dxa"/>
            <w:noWrap w:val="0"/>
            <w:vAlign w:val="center"/>
          </w:tcPr>
          <w:p w14:paraId="19B06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主机</w:t>
            </w:r>
          </w:p>
        </w:tc>
        <w:tc>
          <w:tcPr>
            <w:tcW w:w="3538" w:type="dxa"/>
            <w:noWrap w:val="0"/>
            <w:vAlign w:val="center"/>
          </w:tcPr>
          <w:p w14:paraId="0077A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氟化物离子计</w:t>
            </w:r>
          </w:p>
        </w:tc>
        <w:tc>
          <w:tcPr>
            <w:tcW w:w="2086" w:type="dxa"/>
            <w:noWrap w:val="0"/>
            <w:vAlign w:val="center"/>
          </w:tcPr>
          <w:p w14:paraId="06CA2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含便携式户外箱</w:t>
            </w:r>
          </w:p>
        </w:tc>
        <w:tc>
          <w:tcPr>
            <w:tcW w:w="1991" w:type="dxa"/>
            <w:noWrap w:val="0"/>
            <w:vAlign w:val="center"/>
          </w:tcPr>
          <w:p w14:paraId="660F7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49644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" w:type="dxa"/>
            <w:vMerge w:val="restart"/>
            <w:noWrap w:val="0"/>
            <w:vAlign w:val="center"/>
          </w:tcPr>
          <w:p w14:paraId="664D3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配件</w:t>
            </w:r>
          </w:p>
        </w:tc>
        <w:tc>
          <w:tcPr>
            <w:tcW w:w="3538" w:type="dxa"/>
            <w:noWrap w:val="0"/>
            <w:vAlign w:val="center"/>
          </w:tcPr>
          <w:p w14:paraId="22887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电源线</w:t>
            </w:r>
          </w:p>
        </w:tc>
        <w:tc>
          <w:tcPr>
            <w:tcW w:w="2086" w:type="dxa"/>
            <w:noWrap w:val="0"/>
            <w:vAlign w:val="center"/>
          </w:tcPr>
          <w:p w14:paraId="43525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91" w:type="dxa"/>
            <w:noWrap w:val="0"/>
            <w:vAlign w:val="center"/>
          </w:tcPr>
          <w:p w14:paraId="12C81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22732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" w:type="dxa"/>
            <w:vMerge w:val="continue"/>
            <w:noWrap w:val="0"/>
            <w:vAlign w:val="center"/>
          </w:tcPr>
          <w:p w14:paraId="5DF3E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0ECBD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搅拌器</w:t>
            </w:r>
          </w:p>
        </w:tc>
        <w:tc>
          <w:tcPr>
            <w:tcW w:w="2086" w:type="dxa"/>
            <w:shd w:val="clear" w:color="auto" w:fill="auto"/>
            <w:noWrap w:val="0"/>
            <w:vAlign w:val="center"/>
          </w:tcPr>
          <w:p w14:paraId="19CA3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91" w:type="dxa"/>
            <w:shd w:val="clear" w:color="auto" w:fill="auto"/>
            <w:noWrap w:val="0"/>
            <w:vAlign w:val="center"/>
          </w:tcPr>
          <w:p w14:paraId="48604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1台</w:t>
            </w:r>
          </w:p>
        </w:tc>
      </w:tr>
      <w:tr w14:paraId="32D3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" w:type="dxa"/>
            <w:vMerge w:val="continue"/>
            <w:noWrap w:val="0"/>
            <w:vAlign w:val="center"/>
          </w:tcPr>
          <w:p w14:paraId="0450E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181FF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氟离子电极</w:t>
            </w:r>
          </w:p>
        </w:tc>
        <w:tc>
          <w:tcPr>
            <w:tcW w:w="2086" w:type="dxa"/>
            <w:shd w:val="clear" w:color="auto" w:fill="auto"/>
            <w:noWrap w:val="0"/>
            <w:vAlign w:val="center"/>
          </w:tcPr>
          <w:p w14:paraId="47E76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91" w:type="dxa"/>
            <w:shd w:val="clear" w:color="auto" w:fill="auto"/>
            <w:noWrap w:val="0"/>
            <w:vAlign w:val="center"/>
          </w:tcPr>
          <w:p w14:paraId="1A8BA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1支</w:t>
            </w:r>
          </w:p>
        </w:tc>
      </w:tr>
      <w:tr w14:paraId="30856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" w:type="dxa"/>
            <w:vMerge w:val="continue"/>
            <w:noWrap w:val="0"/>
            <w:vAlign w:val="center"/>
          </w:tcPr>
          <w:p w14:paraId="34107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75EEC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参比电极</w:t>
            </w:r>
          </w:p>
        </w:tc>
        <w:tc>
          <w:tcPr>
            <w:tcW w:w="2086" w:type="dxa"/>
            <w:shd w:val="clear" w:color="auto" w:fill="auto"/>
            <w:noWrap w:val="0"/>
            <w:vAlign w:val="center"/>
          </w:tcPr>
          <w:p w14:paraId="4961F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91" w:type="dxa"/>
            <w:shd w:val="clear" w:color="auto" w:fill="auto"/>
            <w:noWrap w:val="0"/>
            <w:vAlign w:val="center"/>
          </w:tcPr>
          <w:p w14:paraId="6DD22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1支</w:t>
            </w:r>
          </w:p>
        </w:tc>
      </w:tr>
      <w:tr w14:paraId="7FFC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" w:type="dxa"/>
            <w:vMerge w:val="continue"/>
            <w:noWrap w:val="0"/>
            <w:vAlign w:val="center"/>
          </w:tcPr>
          <w:p w14:paraId="54F73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0D42D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温度电极</w:t>
            </w:r>
          </w:p>
        </w:tc>
        <w:tc>
          <w:tcPr>
            <w:tcW w:w="2086" w:type="dxa"/>
            <w:shd w:val="clear" w:color="auto" w:fill="auto"/>
            <w:noWrap w:val="0"/>
            <w:vAlign w:val="center"/>
          </w:tcPr>
          <w:p w14:paraId="34D03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91" w:type="dxa"/>
            <w:shd w:val="clear" w:color="auto" w:fill="auto"/>
            <w:noWrap w:val="0"/>
            <w:vAlign w:val="center"/>
          </w:tcPr>
          <w:p w14:paraId="14641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1支</w:t>
            </w:r>
          </w:p>
        </w:tc>
      </w:tr>
      <w:tr w14:paraId="2251F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" w:type="dxa"/>
            <w:vMerge w:val="continue"/>
            <w:noWrap w:val="0"/>
            <w:vAlign w:val="center"/>
          </w:tcPr>
          <w:p w14:paraId="76A53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6FA54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多功能电极架</w:t>
            </w:r>
          </w:p>
        </w:tc>
        <w:tc>
          <w:tcPr>
            <w:tcW w:w="2086" w:type="dxa"/>
            <w:shd w:val="clear" w:color="auto" w:fill="auto"/>
            <w:noWrap w:val="0"/>
            <w:vAlign w:val="center"/>
          </w:tcPr>
          <w:p w14:paraId="78BFB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91" w:type="dxa"/>
            <w:shd w:val="clear" w:color="auto" w:fill="auto"/>
            <w:noWrap w:val="0"/>
            <w:vAlign w:val="center"/>
          </w:tcPr>
          <w:p w14:paraId="1829F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1套</w:t>
            </w:r>
          </w:p>
        </w:tc>
      </w:tr>
      <w:tr w14:paraId="36E52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" w:type="dxa"/>
            <w:vMerge w:val="continue"/>
            <w:noWrap w:val="0"/>
            <w:vAlign w:val="center"/>
          </w:tcPr>
          <w:p w14:paraId="5F21C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63693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电源适配器DC 9V(内正外负)</w:t>
            </w:r>
          </w:p>
        </w:tc>
        <w:tc>
          <w:tcPr>
            <w:tcW w:w="2086" w:type="dxa"/>
            <w:shd w:val="clear" w:color="auto" w:fill="auto"/>
            <w:noWrap w:val="0"/>
            <w:vAlign w:val="center"/>
          </w:tcPr>
          <w:p w14:paraId="5F4D4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91" w:type="dxa"/>
            <w:shd w:val="clear" w:color="auto" w:fill="auto"/>
            <w:noWrap w:val="0"/>
            <w:vAlign w:val="center"/>
          </w:tcPr>
          <w:p w14:paraId="724AB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1个</w:t>
            </w:r>
          </w:p>
        </w:tc>
      </w:tr>
      <w:tr w14:paraId="51C14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" w:type="dxa"/>
            <w:vMerge w:val="continue"/>
            <w:noWrap w:val="0"/>
            <w:vAlign w:val="center"/>
          </w:tcPr>
          <w:p w14:paraId="20876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4C975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通用USB连接线</w:t>
            </w:r>
          </w:p>
        </w:tc>
        <w:tc>
          <w:tcPr>
            <w:tcW w:w="2086" w:type="dxa"/>
            <w:shd w:val="clear" w:color="auto" w:fill="auto"/>
            <w:noWrap w:val="0"/>
            <w:vAlign w:val="center"/>
          </w:tcPr>
          <w:p w14:paraId="11E66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91" w:type="dxa"/>
            <w:shd w:val="clear" w:color="auto" w:fill="auto"/>
            <w:noWrap w:val="0"/>
            <w:vAlign w:val="center"/>
          </w:tcPr>
          <w:p w14:paraId="7AA0C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1根</w:t>
            </w:r>
          </w:p>
        </w:tc>
      </w:tr>
      <w:tr w14:paraId="5E38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6" w:type="dxa"/>
            <w:vMerge w:val="continue"/>
            <w:noWrap w:val="0"/>
            <w:vAlign w:val="center"/>
          </w:tcPr>
          <w:p w14:paraId="19DA9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  <w:noWrap w:val="0"/>
            <w:vAlign w:val="center"/>
          </w:tcPr>
          <w:p w14:paraId="053A3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防尘罩(按键款)</w:t>
            </w:r>
          </w:p>
        </w:tc>
        <w:tc>
          <w:tcPr>
            <w:tcW w:w="2086" w:type="dxa"/>
            <w:shd w:val="clear" w:color="auto" w:fill="auto"/>
            <w:noWrap w:val="0"/>
            <w:vAlign w:val="center"/>
          </w:tcPr>
          <w:p w14:paraId="29BC8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991" w:type="dxa"/>
            <w:shd w:val="clear" w:color="auto" w:fill="auto"/>
            <w:noWrap w:val="0"/>
            <w:vAlign w:val="center"/>
          </w:tcPr>
          <w:p w14:paraId="0328F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1只</w:t>
            </w:r>
          </w:p>
        </w:tc>
      </w:tr>
    </w:tbl>
    <w:p w14:paraId="08281E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/>
          <w:bCs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设备功能及要求</w:t>
      </w:r>
    </w:p>
    <w:p w14:paraId="201D7D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firstLine="480" w:firstLineChars="200"/>
        <w:textAlignment w:val="auto"/>
        <w:rPr>
          <w:rFonts w:hint="eastAsia" w:ascii="仿宋" w:hAnsi="仿宋" w:cs="仿宋" w:eastAsiaTheme="minorEastAsia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用于地表水、地下水及工业废水（如化工、电镀、电子半导体、冶金等行业）的氟污染评估和排放监控，可以测量电位值、pH值、pX值、ORP值、离子浓度值和温度值。</w:t>
      </w:r>
    </w:p>
    <w:p w14:paraId="07DC9038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/>
          <w:bCs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技术参数</w:t>
      </w:r>
    </w:p>
    <w:p w14:paraId="3E2AF32B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3.1.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采用彩色高清液晶屏幕，显示清晰</w:t>
      </w:r>
    </w:p>
    <w:p w14:paraId="7095FF19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3.2.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三种分辨率可选：pX支持0.001pX、0.01pX和0.1pX，mV支持0.01mV、0.1 mV和1mV</w:t>
      </w:r>
    </w:p>
    <w:p w14:paraId="616BFEB1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3.3.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温度单位可选：℃ 和 °F。</w:t>
      </w:r>
    </w:p>
    <w:p w14:paraId="0E4DE6C4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3.4.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支持开机自诊断、自动关机、断电保护和恢复出厂设置等功能</w:t>
      </w:r>
    </w:p>
    <w:p w14:paraId="12B2F0DC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3.5.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支持固件升级功能，允许功能扩展和个性化要求</w:t>
      </w:r>
    </w:p>
    <w:p w14:paraId="455BBB94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支持IP54防护等级</w:t>
      </w:r>
    </w:p>
    <w:p w14:paraId="5A32B203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3.7.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标配搅拌器、氟离子电极、参比电极、温度电极，电极支架、防尘罩。</w:t>
      </w:r>
    </w:p>
    <w:p w14:paraId="20E14FA4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3.8.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智能判别终点，支持自动读数、定时读数、定时间隔读数、手动读数</w:t>
      </w:r>
    </w:p>
    <w:p w14:paraId="64ACF2A0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3.9.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支持自动/手动温度补偿</w:t>
      </w:r>
    </w:p>
    <w:p w14:paraId="5F9D0780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3.10.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支持1-5点pH电极标定</w:t>
      </w:r>
    </w:p>
    <w:p w14:paraId="436A1666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3.11.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自动识别GB、DIN、NIST、USA等4组标准缓冲溶液，支持标液组管理，支持自定义pH缓冲溶液和标液组</w:t>
      </w:r>
    </w:p>
    <w:p w14:paraId="610C0301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3.12.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内置Na+、K+、NH4+、Cl-、F-等多种离子模式，允许用户自建</w:t>
      </w:r>
    </w:p>
    <w:p w14:paraId="2B356236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3.13.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μg/L、mg/L、g/L、mol/L、mmol/L、PX多种离子浓度单位快速切换</w:t>
      </w:r>
    </w:p>
    <w:p w14:paraId="0622E3F1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3.14.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测量模式：直读浓度法测量、标准添加法测量、样品添加法测量、GRAN法测量</w:t>
      </w:r>
    </w:p>
    <w:p w14:paraId="1EA2705C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3.15.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支持数据存储（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500套）、查阅、删除、传输和打印</w:t>
      </w:r>
    </w:p>
    <w:p w14:paraId="54FC5567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3.16.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符合GLP，实现数据追溯</w:t>
      </w:r>
    </w:p>
    <w:p w14:paraId="2ED56358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3.17.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具有RS-232接口，支持连接标准RS-232串口打印机，直接打印测量结果，打印格式可选</w:t>
      </w:r>
    </w:p>
    <w:p w14:paraId="64B4C109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3.18.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具有USB接口，通过专用通信软件与PC连接，实现数据传输</w:t>
      </w:r>
    </w:p>
    <w:p w14:paraId="3CAD4D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288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58B1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default" w:ascii="仿宋" w:hAnsi="仿宋" w:eastAsia="仿宋" w:cs="仿宋"/>
          <w:b/>
          <w:bCs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分析项目指标</w:t>
      </w:r>
    </w:p>
    <w:p w14:paraId="39D49F20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4.1.</w:t>
      </w:r>
      <w:r>
        <w:rPr>
          <w:rFonts w:hint="eastAsia" w:ascii="仿宋" w:hAnsi="仿宋" w:eastAsia="仿宋" w:cs="仿宋"/>
          <w:sz w:val="24"/>
          <w:szCs w:val="24"/>
        </w:rPr>
        <w:t>测量参数电位值、pH值、pX值、ORP值、离子浓度值和温度值</w:t>
      </w:r>
    </w:p>
    <w:p w14:paraId="225205E8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4.2.</w:t>
      </w:r>
      <w:r>
        <w:rPr>
          <w:rFonts w:hint="eastAsia" w:ascii="仿宋" w:hAnsi="仿宋" w:eastAsia="仿宋" w:cs="仿宋"/>
          <w:sz w:val="24"/>
          <w:szCs w:val="24"/>
        </w:rPr>
        <w:t>mV：</w:t>
      </w:r>
    </w:p>
    <w:p w14:paraId="571AF8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范围：(-2000.00～2000.00)mV</w:t>
      </w:r>
    </w:p>
    <w:p w14:paraId="59DC19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最小分辨率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0.01 mV</w:t>
      </w:r>
    </w:p>
    <w:p w14:paraId="1D01FB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电子单元示值误差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±0.03%或±0.1 mV</w:t>
      </w:r>
    </w:p>
    <w:p w14:paraId="2ACAD1A1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4.3.</w:t>
      </w:r>
      <w:r>
        <w:rPr>
          <w:rFonts w:hint="eastAsia" w:ascii="仿宋" w:hAnsi="仿宋" w:eastAsia="仿宋" w:cs="仿宋"/>
          <w:sz w:val="24"/>
          <w:szCs w:val="24"/>
        </w:rPr>
        <w:t>pH：</w:t>
      </w:r>
    </w:p>
    <w:p w14:paraId="4526F7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范围：(-2.000～20.000)pH</w:t>
      </w:r>
    </w:p>
    <w:p w14:paraId="339970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最小分辨率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0.001 pH</w:t>
      </w:r>
    </w:p>
    <w:p w14:paraId="259FFD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电子单元示值误差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±0.002pH</w:t>
      </w:r>
    </w:p>
    <w:p w14:paraId="4E2C867E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4.4.</w:t>
      </w:r>
      <w:r>
        <w:rPr>
          <w:rFonts w:hint="eastAsia" w:ascii="仿宋" w:hAnsi="仿宋" w:eastAsia="仿宋" w:cs="仿宋"/>
          <w:sz w:val="24"/>
          <w:szCs w:val="24"/>
        </w:rPr>
        <w:t>pX：</w:t>
      </w:r>
    </w:p>
    <w:p w14:paraId="6E2028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范围：(-2.000～20.000)pX</w:t>
      </w:r>
    </w:p>
    <w:p w14:paraId="47D325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最小分辨率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0.001 pX</w:t>
      </w:r>
    </w:p>
    <w:p w14:paraId="71943A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电子单元示值误差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±0.002 pX</w:t>
      </w:r>
    </w:p>
    <w:p w14:paraId="058A0E64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4.5.</w:t>
      </w:r>
      <w:r>
        <w:rPr>
          <w:rFonts w:hint="eastAsia" w:ascii="仿宋" w:hAnsi="仿宋" w:eastAsia="仿宋" w:cs="仿宋"/>
          <w:sz w:val="24"/>
          <w:szCs w:val="24"/>
        </w:rPr>
        <w:t>离子浓度：</w:t>
      </w:r>
    </w:p>
    <w:p w14:paraId="581BD4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范围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(0～19990)，Unit: mol/L, mmol/L, g/L, mg/L, μg/L</w:t>
      </w:r>
    </w:p>
    <w:p w14:paraId="3FB44C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最小分辨率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4位有效数字</w:t>
      </w:r>
    </w:p>
    <w:p w14:paraId="0BD2B2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电子单元示值误差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±0.3%</w:t>
      </w:r>
    </w:p>
    <w:p w14:paraId="1D3A982C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bidi w:val="0"/>
        <w:adjustRightInd/>
        <w:spacing w:line="288" w:lineRule="auto"/>
        <w:ind w:left="567" w:leftChars="0" w:hanging="567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kern w:val="2"/>
          <w:sz w:val="24"/>
          <w:szCs w:val="24"/>
          <w:lang w:val="en-US" w:eastAsia="zh-CN" w:bidi="ar-SA"/>
        </w:rPr>
        <w:t>4.6.</w:t>
      </w:r>
      <w:r>
        <w:rPr>
          <w:rFonts w:hint="eastAsia" w:ascii="仿宋" w:hAnsi="仿宋" w:eastAsia="仿宋" w:cs="仿宋"/>
          <w:sz w:val="24"/>
          <w:szCs w:val="24"/>
        </w:rPr>
        <w:t>温度：</w:t>
      </w:r>
    </w:p>
    <w:p w14:paraId="6F36B5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范围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(-10.0～135.0)℃/(14-275)℉</w:t>
      </w:r>
    </w:p>
    <w:p w14:paraId="2FA422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最小分辨率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0.1 ℃/0.1℉</w:t>
      </w:r>
    </w:p>
    <w:p w14:paraId="350B6D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电子单元示值误差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±0.1 ℃/±0.18℉</w:t>
      </w:r>
    </w:p>
    <w:p w14:paraId="0C0DBF24">
      <w:pPr>
        <w:rPr>
          <w:rFonts w:hint="default"/>
          <w:b/>
          <w:bCs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1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143E589D"/>
    <w:multiLevelType w:val="multilevel"/>
    <w:tmpl w:val="143E589D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3">
    <w:nsid w:val="3E0F540F"/>
    <w:multiLevelType w:val="multilevel"/>
    <w:tmpl w:val="3E0F540F"/>
    <w:lvl w:ilvl="0" w:tentative="0">
      <w:start w:val="1"/>
      <w:numFmt w:val="bullet"/>
      <w:pStyle w:val="23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FZHTK--GBK1-0" w:hAnsi="FZHTK--GBK1-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FZHTK--GBK1-0" w:hAnsi="FZHTK--GBK1-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FZHTK--GBK1-0" w:hAnsi="FZHTK--GBK1-0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FZHTK--GBK1-0" w:hAnsi="FZHTK--GBK1-0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FZHTK--GBK1-0" w:hAnsi="FZHTK--GBK1-0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FZHTK--GBK1-0" w:hAnsi="FZHTK--GBK1-0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FZHTK--GBK1-0" w:hAnsi="FZHTK--GBK1-0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FZHTK--GBK1-0" w:hAnsi="FZHTK--GBK1-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04E6E8D"/>
    <w:rsid w:val="03312448"/>
    <w:rsid w:val="03736735"/>
    <w:rsid w:val="0522647B"/>
    <w:rsid w:val="07AF6AAA"/>
    <w:rsid w:val="085B1141"/>
    <w:rsid w:val="11B95320"/>
    <w:rsid w:val="132135EE"/>
    <w:rsid w:val="1F603109"/>
    <w:rsid w:val="21FA2A4D"/>
    <w:rsid w:val="23181B9F"/>
    <w:rsid w:val="235D2694"/>
    <w:rsid w:val="31B04D12"/>
    <w:rsid w:val="36393E81"/>
    <w:rsid w:val="388A594F"/>
    <w:rsid w:val="395D152B"/>
    <w:rsid w:val="3A3D4E43"/>
    <w:rsid w:val="3AEC2F3B"/>
    <w:rsid w:val="3D2959BD"/>
    <w:rsid w:val="3D3D4FC4"/>
    <w:rsid w:val="3E9A1FA2"/>
    <w:rsid w:val="422A1A20"/>
    <w:rsid w:val="4AFC3310"/>
    <w:rsid w:val="4CE51F37"/>
    <w:rsid w:val="4ED54C66"/>
    <w:rsid w:val="55A64F94"/>
    <w:rsid w:val="5AC94301"/>
    <w:rsid w:val="60150D5F"/>
    <w:rsid w:val="67C718D1"/>
    <w:rsid w:val="684F2AAF"/>
    <w:rsid w:val="69AF3970"/>
    <w:rsid w:val="6C9611B5"/>
    <w:rsid w:val="6D503E66"/>
    <w:rsid w:val="6F732867"/>
    <w:rsid w:val="701B1D7B"/>
    <w:rsid w:val="73E55634"/>
    <w:rsid w:val="78B33C13"/>
    <w:rsid w:val="794D1059"/>
    <w:rsid w:val="79D06969"/>
    <w:rsid w:val="7B203D0C"/>
    <w:rsid w:val="7F7A5A9C"/>
    <w:rsid w:val="7F80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微软雅黑" w:hAnsi="微软雅黑" w:eastAsia="微软雅黑" w:cs="Times New Roman"/>
      <w:b/>
      <w:bCs/>
      <w:sz w:val="32"/>
      <w:szCs w:val="32"/>
    </w:rPr>
  </w:style>
  <w:style w:type="paragraph" w:styleId="4">
    <w:name w:val="heading 3"/>
    <w:basedOn w:val="1"/>
    <w:next w:val="5"/>
    <w:link w:val="18"/>
    <w:unhideWhenUsed/>
    <w:qFormat/>
    <w:uiPriority w:val="9"/>
    <w:pPr>
      <w:numPr>
        <w:ilvl w:val="2"/>
        <w:numId w:val="2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6">
    <w:name w:val="heading 4"/>
    <w:next w:val="5"/>
    <w:unhideWhenUsed/>
    <w:qFormat/>
    <w:uiPriority w:val="9"/>
    <w:pPr>
      <w:numPr>
        <w:ilvl w:val="3"/>
        <w:numId w:val="3"/>
      </w:numPr>
      <w:adjustRightInd w:val="0"/>
      <w:snapToGrid w:val="0"/>
      <w:spacing w:before="100" w:beforeLines="100" w:after="50" w:afterLines="50" w:line="288" w:lineRule="auto"/>
      <w:ind w:left="0" w:firstLine="0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Body Text First Indent 2"/>
    <w:basedOn w:val="8"/>
    <w:qFormat/>
    <w:uiPriority w:val="0"/>
    <w:pPr>
      <w:ind w:left="0" w:leftChars="0" w:firstLine="420"/>
    </w:pPr>
  </w:style>
  <w:style w:type="table" w:styleId="14">
    <w:name w:val="Table Grid"/>
    <w:basedOn w:val="1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产品手册——表"/>
    <w:qFormat/>
    <w:uiPriority w:val="0"/>
    <w:pPr>
      <w:adjustRightInd w:val="0"/>
      <w:snapToGrid w:val="0"/>
      <w:spacing w:before="20" w:beforeLines="20" w:after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character" w:customStyle="1" w:styleId="18">
    <w:name w:val="标题 3 Char"/>
    <w:link w:val="4"/>
    <w:qFormat/>
    <w:uiPriority w:val="9"/>
    <w:rPr>
      <w:rFonts w:ascii="黑体" w:hAnsi="黑体" w:eastAsia="黑体"/>
      <w:b/>
      <w:bCs/>
      <w:sz w:val="30"/>
      <w:szCs w:val="30"/>
    </w:rPr>
  </w:style>
  <w:style w:type="character" w:customStyle="1" w:styleId="19">
    <w:name w:val="font1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21"/>
    <w:basedOn w:val="15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1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LC主要特点"/>
    <w:basedOn w:val="1"/>
    <w:qFormat/>
    <w:uiPriority w:val="0"/>
    <w:pPr>
      <w:outlineLvl w:val="3"/>
    </w:pPr>
    <w:rPr>
      <w:rFonts w:ascii="Arial Unicode MS" w:hAnsi="Arial Unicode MS" w:eastAsia="微软雅黑"/>
      <w:b/>
    </w:rPr>
  </w:style>
  <w:style w:type="paragraph" w:customStyle="1" w:styleId="23">
    <w:name w:val="LC 文字内容 带符号编码"/>
    <w:next w:val="1"/>
    <w:qFormat/>
    <w:uiPriority w:val="0"/>
    <w:pPr>
      <w:numPr>
        <w:ilvl w:val="0"/>
        <w:numId w:val="4"/>
      </w:numPr>
      <w:adjustRightInd w:val="0"/>
      <w:snapToGrid w:val="0"/>
      <w:spacing w:before="0" w:beforeLines="0" w:after="0" w:afterLines="0"/>
      <w:ind w:left="840" w:leftChars="200"/>
      <w:jc w:val="both"/>
      <w:outlineLvl w:val="9"/>
    </w:pPr>
    <w:rPr>
      <w:rFonts w:ascii="微软雅黑" w:hAnsi="微软雅黑" w:eastAsia="微软雅黑" w:cs="Times New Roman"/>
      <w:sz w:val="21"/>
      <w:lang w:val="en-US" w:eastAsia="zh-CN" w:bidi="ar-SA"/>
    </w:rPr>
  </w:style>
  <w:style w:type="paragraph" w:customStyle="1" w:styleId="24">
    <w:name w:val="LC文字内容 空2格"/>
    <w:basedOn w:val="1"/>
    <w:qFormat/>
    <w:uiPriority w:val="0"/>
    <w:pPr>
      <w:numPr>
        <w:ilvl w:val="0"/>
        <w:numId w:val="0"/>
      </w:numPr>
      <w:spacing w:beforeLines="0" w:afterLines="0" w:line="240" w:lineRule="auto"/>
      <w:ind w:left="0" w:leftChars="0" w:firstLine="420"/>
      <w:outlineLvl w:val="9"/>
    </w:pPr>
    <w:rPr>
      <w:rFonts w:ascii="微软雅黑" w:hAnsi="微软雅黑" w:eastAsia="微软雅黑" w:cs="Times New Roman"/>
    </w:rPr>
  </w:style>
  <w:style w:type="paragraph" w:customStyle="1" w:styleId="25">
    <w:name w:val="装箱单"/>
    <w:next w:val="1"/>
    <w:autoRedefine/>
    <w:qFormat/>
    <w:uiPriority w:val="0"/>
    <w:pPr>
      <w:adjustRightInd w:val="0"/>
      <w:snapToGrid w:val="0"/>
      <w:jc w:val="both"/>
    </w:pPr>
    <w:rPr>
      <w:rFonts w:ascii="微软雅黑" w:hAnsi="微软雅黑" w:eastAsia="微软雅黑" w:cs="Times New Roman"/>
      <w:kern w:val="0"/>
      <w:sz w:val="24"/>
      <w:szCs w:val="20"/>
      <w:lang w:val="en-US" w:eastAsia="zh-CN" w:bidi="ar-SA"/>
    </w:rPr>
  </w:style>
  <w:style w:type="paragraph" w:customStyle="1" w:styleId="26">
    <w:name w:val="样式1"/>
    <w:basedOn w:val="1"/>
    <w:qFormat/>
    <w:uiPriority w:val="0"/>
    <w:pPr>
      <w:jc w:val="left"/>
    </w:pPr>
    <w:rPr>
      <w:rFonts w:hint="default" w:eastAsia="仿宋_GB2312" w:asciiTheme="minorAscii" w:hAnsiTheme="minorAscii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811</Words>
  <Characters>1056</Characters>
  <Lines>0</Lines>
  <Paragraphs>0</Paragraphs>
  <TotalTime>0</TotalTime>
  <ScaleCrop>false</ScaleCrop>
  <LinksUpToDate>false</LinksUpToDate>
  <CharactersWithSpaces>1084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2026-04-07T04:16:20Z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D85F96866F7B497F8901B1AA02EE6CC2_13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